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981"/>
        <w:gridCol w:w="2198"/>
        <w:gridCol w:w="1790"/>
        <w:gridCol w:w="1374"/>
        <w:gridCol w:w="1819"/>
      </w:tblGrid>
      <w:tr w:rsidR="00C549C6" w:rsidTr="00C549C6">
        <w:trPr>
          <w:trHeight w:val="33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549C6" w:rsidRDefault="00C549C6" w:rsidP="00C549C6">
            <w:pPr>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59264" behindDoc="0" locked="0" layoutInCell="1" allowOverlap="1">
                  <wp:simplePos x="895350" y="1104900"/>
                  <wp:positionH relativeFrom="margin">
                    <wp:align>center</wp:align>
                  </wp:positionH>
                  <wp:positionV relativeFrom="margin">
                    <wp:align>center</wp:align>
                  </wp:positionV>
                  <wp:extent cx="876300" cy="876300"/>
                  <wp:effectExtent l="0" t="0" r="0" b="0"/>
                  <wp:wrapSquare wrapText="bothSides"/>
                  <wp:docPr id="1" name="Picture 1" descr="http://aggfbl.org/wp-content/uploads/2015/02/logo_BABANJALU01.gif?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gfbl.org/wp-content/uploads/2015/02/logo_BABANJALU01.gif?refresh=900&amp;resize_h=NaN&amp;resize_w=N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549C6" w:rsidRDefault="00C549C6">
            <w:pPr>
              <w:jc w:val="center"/>
              <w:rPr>
                <w:b/>
                <w:bCs/>
                <w:color w:val="000000"/>
                <w:sz w:val="22"/>
                <w:szCs w:val="22"/>
              </w:rPr>
            </w:pPr>
            <w:r>
              <w:rPr>
                <w:b/>
                <w:bCs/>
                <w:color w:val="000000"/>
                <w:sz w:val="22"/>
                <w:szCs w:val="22"/>
              </w:rPr>
              <w:t>УНИВЕРЗИТЕТ У БАЊОЈ ЛУЦИ</w:t>
            </w:r>
            <w:r>
              <w:rPr>
                <w:b/>
                <w:bCs/>
                <w:color w:val="000000"/>
                <w:sz w:val="22"/>
                <w:szCs w:val="22"/>
              </w:rPr>
              <w:br/>
              <w:t>АРХИТЕКТОНСКО-ГРАЂЕВИНСКО-ГЕОДЕТСКИ ФАКУЛТЕТ</w:t>
            </w:r>
          </w:p>
        </w:tc>
        <w:tc>
          <w:tcPr>
            <w:tcW w:w="0" w:type="auto"/>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549C6" w:rsidRDefault="00C549C6" w:rsidP="00C549C6">
            <w:pPr>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58240" behindDoc="0" locked="0" layoutInCell="1" allowOverlap="1">
                  <wp:simplePos x="5562600" y="1200150"/>
                  <wp:positionH relativeFrom="margin">
                    <wp:posOffset>194310</wp:posOffset>
                  </wp:positionH>
                  <wp:positionV relativeFrom="margin">
                    <wp:posOffset>162560</wp:posOffset>
                  </wp:positionV>
                  <wp:extent cx="771525" cy="778510"/>
                  <wp:effectExtent l="0" t="0" r="0" b="0"/>
                  <wp:wrapSquare wrapText="bothSides"/>
                  <wp:docPr id="2" name="Picture 2" descr="http://aggfbl.org/wp-content/uploads/2015/02/agf_logo.pn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gfbl.org/wp-content/uploads/2015/02/agf_logo.png?refresh=900&amp;resize_h=NaN&amp;resize_w=N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8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549C6" w:rsidTr="00C549C6">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49C6" w:rsidRDefault="00C549C6">
            <w:pPr>
              <w:rPr>
                <w:rFonts w:ascii="Arial"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549C6" w:rsidRDefault="00C549C6" w:rsidP="00C549C6">
            <w:pPr>
              <w:jc w:val="center"/>
              <w:rPr>
                <w:b/>
                <w:bCs/>
                <w:color w:val="000000"/>
                <w:sz w:val="22"/>
                <w:szCs w:val="22"/>
              </w:rPr>
            </w:pPr>
            <w:r>
              <w:rPr>
                <w:b/>
                <w:bCs/>
                <w:color w:val="000000"/>
                <w:sz w:val="22"/>
                <w:szCs w:val="22"/>
              </w:rPr>
              <w:t xml:space="preserve">I циклус студија– </w:t>
            </w: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C549C6" w:rsidRDefault="00C549C6">
            <w:pPr>
              <w:rPr>
                <w:rFonts w:ascii="Arial" w:hAnsi="Arial" w:cs="Arial"/>
                <w:sz w:val="20"/>
                <w:szCs w:val="20"/>
              </w:rPr>
            </w:pPr>
          </w:p>
        </w:tc>
      </w:tr>
      <w:tr w:rsidR="00C549C6" w:rsidTr="00C549C6">
        <w:trPr>
          <w:trHeight w:val="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49C6" w:rsidRDefault="00C549C6">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549C6" w:rsidRDefault="00C549C6">
            <w:pPr>
              <w:rPr>
                <w:color w:val="000000"/>
                <w:sz w:val="22"/>
                <w:szCs w:val="22"/>
              </w:rPr>
            </w:pPr>
            <w:r>
              <w:rPr>
                <w:color w:val="000000"/>
                <w:sz w:val="22"/>
                <w:szCs w:val="22"/>
              </w:rPr>
              <w:t>Студијски програм(и):</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center"/>
            <w:hideMark/>
          </w:tcPr>
          <w:p w:rsidR="00C549C6" w:rsidRDefault="00C549C6">
            <w:pPr>
              <w:jc w:val="center"/>
              <w:rPr>
                <w:b/>
                <w:bCs/>
                <w:color w:val="000000"/>
                <w:sz w:val="22"/>
                <w:szCs w:val="22"/>
              </w:rPr>
            </w:pPr>
            <w:r>
              <w:rPr>
                <w:b/>
                <w:bCs/>
                <w:color w:val="000000"/>
                <w:sz w:val="22"/>
                <w:szCs w:val="22"/>
              </w:rPr>
              <w:t>АРХИТЕКТУРА</w:t>
            </w: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C549C6" w:rsidRDefault="00C549C6">
            <w:pPr>
              <w:rPr>
                <w:rFonts w:ascii="Arial" w:hAnsi="Arial" w:cs="Arial"/>
                <w:sz w:val="20"/>
                <w:szCs w:val="20"/>
              </w:rPr>
            </w:pPr>
          </w:p>
        </w:tc>
      </w:tr>
      <w:tr w:rsidR="00C549C6" w:rsidTr="00C549C6">
        <w:trPr>
          <w:trHeight w:val="33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549C6" w:rsidRDefault="00C549C6">
            <w:pPr>
              <w:rPr>
                <w:color w:val="000000"/>
                <w:sz w:val="22"/>
                <w:szCs w:val="22"/>
              </w:rPr>
            </w:pPr>
            <w:r>
              <w:rPr>
                <w:color w:val="000000"/>
                <w:sz w:val="22"/>
                <w:szCs w:val="22"/>
              </w:rPr>
              <w:t>Предмет</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center"/>
            <w:hideMark/>
          </w:tcPr>
          <w:p w:rsidR="00C549C6" w:rsidRDefault="00BB293A">
            <w:pPr>
              <w:jc w:val="center"/>
              <w:rPr>
                <w:b/>
                <w:bCs/>
                <w:color w:val="000000"/>
                <w:sz w:val="22"/>
                <w:szCs w:val="22"/>
              </w:rPr>
            </w:pPr>
            <w:r w:rsidRPr="00BB293A">
              <w:rPr>
                <w:b/>
                <w:bCs/>
                <w:color w:val="000000"/>
                <w:sz w:val="22"/>
                <w:szCs w:val="22"/>
              </w:rPr>
              <w:t>Интервенције на историјским грађевинама</w:t>
            </w:r>
          </w:p>
        </w:tc>
      </w:tr>
      <w:tr w:rsidR="00C549C6" w:rsidTr="00C549C6">
        <w:trPr>
          <w:trHeight w:val="33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549C6" w:rsidRDefault="00C549C6">
            <w:pPr>
              <w:rPr>
                <w:color w:val="000000"/>
                <w:sz w:val="22"/>
                <w:szCs w:val="22"/>
              </w:rPr>
            </w:pPr>
            <w:r>
              <w:rPr>
                <w:color w:val="000000"/>
                <w:sz w:val="22"/>
                <w:szCs w:val="22"/>
              </w:rPr>
              <w:t>Шифра предмета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549C6" w:rsidRDefault="00C549C6">
            <w:pPr>
              <w:jc w:val="center"/>
              <w:rPr>
                <w:color w:val="000000"/>
                <w:sz w:val="22"/>
                <w:szCs w:val="22"/>
              </w:rPr>
            </w:pPr>
            <w:r>
              <w:rPr>
                <w:color w:val="000000"/>
                <w:sz w:val="22"/>
                <w:szCs w:val="22"/>
              </w:rPr>
              <w:t>Семестар</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549C6" w:rsidRDefault="00C549C6">
            <w:pPr>
              <w:jc w:val="center"/>
              <w:rPr>
                <w:color w:val="000000"/>
                <w:sz w:val="22"/>
                <w:szCs w:val="22"/>
              </w:rPr>
            </w:pPr>
            <w:r>
              <w:rPr>
                <w:color w:val="000000"/>
                <w:sz w:val="22"/>
                <w:szCs w:val="22"/>
              </w:rPr>
              <w:t>Број ЕСПБ бодова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549C6" w:rsidRDefault="00C549C6">
            <w:pPr>
              <w:jc w:val="center"/>
              <w:rPr>
                <w:color w:val="000000"/>
                <w:sz w:val="22"/>
                <w:szCs w:val="22"/>
              </w:rPr>
            </w:pPr>
            <w:r>
              <w:rPr>
                <w:color w:val="000000"/>
                <w:sz w:val="22"/>
                <w:szCs w:val="22"/>
              </w:rPr>
              <w:t>Фонд часова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549C6" w:rsidRDefault="00C549C6">
            <w:pPr>
              <w:jc w:val="center"/>
              <w:rPr>
                <w:color w:val="000000"/>
                <w:sz w:val="22"/>
                <w:szCs w:val="22"/>
              </w:rPr>
            </w:pPr>
            <w:r>
              <w:rPr>
                <w:color w:val="000000"/>
                <w:sz w:val="22"/>
                <w:szCs w:val="22"/>
              </w:rPr>
              <w:t>Статус предмета</w:t>
            </w:r>
          </w:p>
        </w:tc>
      </w:tr>
      <w:tr w:rsidR="00C549C6" w:rsidTr="00C549C6">
        <w:trPr>
          <w:trHeight w:val="33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549C6" w:rsidRPr="00B91D66" w:rsidRDefault="00C549C6" w:rsidP="00B91D66">
            <w:pPr>
              <w:rPr>
                <w:b/>
                <w:bCs/>
                <w:color w:val="000000"/>
                <w:sz w:val="22"/>
                <w:szCs w:val="22"/>
                <w:lang w:val="sr-Cyrl-CS"/>
              </w:rPr>
            </w:pPr>
            <w:r>
              <w:rPr>
                <w:b/>
                <w:bCs/>
                <w:color w:val="000000"/>
                <w:sz w:val="22"/>
                <w:szCs w:val="22"/>
              </w:rPr>
              <w:t>И</w:t>
            </w:r>
            <w:r w:rsidR="00B91D66">
              <w:rPr>
                <w:b/>
                <w:bCs/>
                <w:color w:val="000000"/>
                <w:sz w:val="22"/>
                <w:szCs w:val="22"/>
                <w:lang w:val="sr-Cyrl-CS"/>
              </w:rPr>
              <w:t>ИГ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549C6" w:rsidRDefault="00C549C6">
            <w:pPr>
              <w:jc w:val="center"/>
              <w:rPr>
                <w:color w:val="000000"/>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549C6" w:rsidRDefault="00BB293A">
            <w:pPr>
              <w:jc w:val="center"/>
              <w:rPr>
                <w:color w:val="000000"/>
                <w:sz w:val="22"/>
                <w:szCs w:val="22"/>
              </w:rPr>
            </w:pPr>
            <w:r>
              <w:rPr>
                <w:color w:val="000000"/>
                <w:sz w:val="22"/>
                <w:szCs w:val="22"/>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549C6" w:rsidRDefault="00BB293A">
            <w:pPr>
              <w:jc w:val="center"/>
              <w:rPr>
                <w:color w:val="000000"/>
                <w:sz w:val="22"/>
                <w:szCs w:val="22"/>
              </w:rPr>
            </w:pPr>
            <w:r>
              <w:rPr>
                <w:color w:val="000000"/>
                <w:sz w:val="22"/>
                <w:szCs w:val="22"/>
              </w:rPr>
              <w:t>2</w:t>
            </w:r>
            <w:r w:rsidR="00C549C6">
              <w:rPr>
                <w:color w:val="000000"/>
                <w:sz w:val="22"/>
                <w:szCs w:val="22"/>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549C6" w:rsidRPr="00BB293A" w:rsidRDefault="00BB293A">
            <w:pPr>
              <w:jc w:val="center"/>
              <w:rPr>
                <w:color w:val="000000"/>
                <w:sz w:val="22"/>
                <w:szCs w:val="22"/>
                <w:lang w:val="sr-Cyrl-CS"/>
              </w:rPr>
            </w:pPr>
            <w:r>
              <w:rPr>
                <w:color w:val="000000"/>
                <w:sz w:val="22"/>
                <w:szCs w:val="22"/>
                <w:lang w:val="sr-Cyrl-CS"/>
              </w:rPr>
              <w:t>И</w:t>
            </w:r>
          </w:p>
        </w:tc>
      </w:tr>
      <w:tr w:rsidR="00C549C6" w:rsidTr="00C549C6">
        <w:trPr>
          <w:trHeight w:val="330"/>
        </w:trPr>
        <w:tc>
          <w:tcPr>
            <w:tcW w:w="0" w:type="auto"/>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C549C6" w:rsidRDefault="00C549C6">
            <w:pPr>
              <w:rPr>
                <w:b/>
                <w:bCs/>
                <w:color w:val="000000"/>
                <w:sz w:val="22"/>
                <w:szCs w:val="22"/>
              </w:rPr>
            </w:pPr>
            <w:r>
              <w:rPr>
                <w:b/>
                <w:bCs/>
                <w:color w:val="000000"/>
                <w:sz w:val="22"/>
                <w:szCs w:val="22"/>
              </w:rPr>
              <w:t>Наставник</w:t>
            </w:r>
          </w:p>
        </w:tc>
        <w:tc>
          <w:tcPr>
            <w:tcW w:w="0" w:type="auto"/>
            <w:gridSpan w:val="4"/>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549C6" w:rsidRPr="00791DD8" w:rsidRDefault="00C549C6" w:rsidP="00791DD8">
            <w:pPr>
              <w:jc w:val="center"/>
              <w:rPr>
                <w:b/>
                <w:bCs/>
                <w:color w:val="000000"/>
                <w:sz w:val="22"/>
                <w:szCs w:val="22"/>
                <w:lang w:val="sr-Cyrl-RS"/>
              </w:rPr>
            </w:pPr>
            <w:r>
              <w:rPr>
                <w:b/>
                <w:bCs/>
                <w:color w:val="000000"/>
                <w:sz w:val="22"/>
                <w:szCs w:val="22"/>
              </w:rPr>
              <w:t xml:space="preserve">др Милијана Окиљ, </w:t>
            </w:r>
            <w:r w:rsidR="00791DD8">
              <w:rPr>
                <w:b/>
                <w:bCs/>
                <w:color w:val="000000"/>
                <w:sz w:val="22"/>
                <w:szCs w:val="22"/>
                <w:lang w:val="sr-Cyrl-RS"/>
              </w:rPr>
              <w:t>ванредни професор</w:t>
            </w: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C549C6" w:rsidRDefault="00C549C6">
            <w:pPr>
              <w:rPr>
                <w:b/>
                <w:bCs/>
                <w:color w:val="000000"/>
                <w:sz w:val="22"/>
                <w:szCs w:val="22"/>
              </w:rPr>
            </w:pPr>
            <w:r>
              <w:rPr>
                <w:b/>
                <w:bCs/>
                <w:color w:val="000000"/>
                <w:sz w:val="22"/>
                <w:szCs w:val="22"/>
              </w:rPr>
              <w:t>Условљеност другим предметима:</w:t>
            </w:r>
          </w:p>
        </w:tc>
      </w:tr>
      <w:tr w:rsidR="00C549C6" w:rsidTr="00C549C6">
        <w:trPr>
          <w:trHeight w:val="330"/>
        </w:trPr>
        <w:tc>
          <w:tcPr>
            <w:tcW w:w="0" w:type="auto"/>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549C6" w:rsidRDefault="00C549C6">
            <w:pPr>
              <w:rPr>
                <w:i/>
                <w:iCs/>
                <w:sz w:val="22"/>
                <w:szCs w:val="22"/>
              </w:rPr>
            </w:pPr>
            <w:r>
              <w:rPr>
                <w:i/>
                <w:iCs/>
                <w:sz w:val="22"/>
                <w:szCs w:val="22"/>
              </w:rPr>
              <w:t xml:space="preserve">за похађање наставе </w:t>
            </w:r>
          </w:p>
        </w:tc>
        <w:tc>
          <w:tcPr>
            <w:tcW w:w="0" w:type="auto"/>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549C6" w:rsidRDefault="00C549C6">
            <w:pPr>
              <w:rPr>
                <w:color w:val="000000"/>
                <w:sz w:val="22"/>
                <w:szCs w:val="22"/>
              </w:rPr>
            </w:pPr>
            <w:r>
              <w:rPr>
                <w:color w:val="000000"/>
                <w:sz w:val="22"/>
                <w:szCs w:val="22"/>
              </w:rPr>
              <w:t>-</w:t>
            </w:r>
          </w:p>
        </w:tc>
      </w:tr>
      <w:tr w:rsidR="00C549C6" w:rsidTr="00C549C6">
        <w:trPr>
          <w:trHeight w:val="330"/>
        </w:trPr>
        <w:tc>
          <w:tcPr>
            <w:tcW w:w="0" w:type="auto"/>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549C6" w:rsidRDefault="00C549C6">
            <w:pPr>
              <w:rPr>
                <w:i/>
                <w:iCs/>
                <w:sz w:val="22"/>
                <w:szCs w:val="22"/>
              </w:rPr>
            </w:pPr>
            <w:r>
              <w:rPr>
                <w:i/>
                <w:iCs/>
                <w:sz w:val="22"/>
                <w:szCs w:val="22"/>
              </w:rPr>
              <w:t>за полагање завршног испита</w:t>
            </w:r>
          </w:p>
        </w:tc>
        <w:tc>
          <w:tcPr>
            <w:tcW w:w="0" w:type="auto"/>
            <w:gridSpan w:val="3"/>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C549C6" w:rsidRDefault="00C549C6">
            <w:pPr>
              <w:rPr>
                <w:color w:val="000000"/>
                <w:sz w:val="22"/>
                <w:szCs w:val="22"/>
              </w:rPr>
            </w:pPr>
            <w:r>
              <w:rPr>
                <w:color w:val="000000"/>
                <w:sz w:val="22"/>
                <w:szCs w:val="22"/>
              </w:rPr>
              <w:t>-</w:t>
            </w: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C549C6" w:rsidRDefault="00C549C6">
            <w:pPr>
              <w:rPr>
                <w:b/>
                <w:bCs/>
                <w:color w:val="000000"/>
                <w:sz w:val="22"/>
                <w:szCs w:val="22"/>
              </w:rPr>
            </w:pPr>
            <w:r>
              <w:rPr>
                <w:b/>
                <w:bCs/>
                <w:color w:val="000000"/>
                <w:sz w:val="22"/>
                <w:szCs w:val="22"/>
              </w:rPr>
              <w:t>Циљеви изучавања предмета:</w:t>
            </w: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549C6" w:rsidRDefault="00BB293A">
            <w:pPr>
              <w:rPr>
                <w:color w:val="000000"/>
                <w:sz w:val="22"/>
                <w:szCs w:val="22"/>
              </w:rPr>
            </w:pPr>
            <w:r w:rsidRPr="00BB293A">
              <w:rPr>
                <w:color w:val="000000"/>
                <w:sz w:val="22"/>
                <w:szCs w:val="22"/>
              </w:rPr>
              <w:t>Оспособљавање студента</w:t>
            </w:r>
            <w:r w:rsidR="00791DD8">
              <w:rPr>
                <w:color w:val="000000"/>
                <w:sz w:val="22"/>
                <w:szCs w:val="22"/>
              </w:rPr>
              <w:t xml:space="preserve"> за примјену знања у конзервато</w:t>
            </w:r>
            <w:r w:rsidR="00791DD8">
              <w:rPr>
                <w:color w:val="000000"/>
                <w:sz w:val="22"/>
                <w:szCs w:val="22"/>
                <w:lang w:val="sr-Cyrl-RS"/>
              </w:rPr>
              <w:t>р</w:t>
            </w:r>
            <w:r w:rsidRPr="00BB293A">
              <w:rPr>
                <w:color w:val="000000"/>
                <w:sz w:val="22"/>
                <w:szCs w:val="22"/>
              </w:rPr>
              <w:t>ској пракси</w:t>
            </w:r>
            <w:r>
              <w:rPr>
                <w:color w:val="000000"/>
                <w:sz w:val="22"/>
                <w:szCs w:val="22"/>
                <w:lang w:val="sr-Cyrl-CS"/>
              </w:rPr>
              <w:t>.</w:t>
            </w:r>
            <w:r w:rsidRPr="00BB293A">
              <w:rPr>
                <w:color w:val="000000"/>
                <w:sz w:val="22"/>
                <w:szCs w:val="22"/>
              </w:rPr>
              <w:t xml:space="preserve"> Подстицање студената да експериментишу са свим фазама пројекта конзервације</w:t>
            </w:r>
            <w:r>
              <w:rPr>
                <w:color w:val="000000"/>
                <w:sz w:val="22"/>
                <w:szCs w:val="22"/>
                <w:lang w:val="sr-Cyrl-CS"/>
              </w:rPr>
              <w:t>. О</w:t>
            </w:r>
            <w:r w:rsidRPr="00BB293A">
              <w:rPr>
                <w:color w:val="000000"/>
                <w:sz w:val="22"/>
                <w:szCs w:val="22"/>
              </w:rPr>
              <w:t>вај модул пружа синтезу теорије и праксе, и промовише развој холистичког приступа архитектонској конзервацији.</w:t>
            </w: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C549C6" w:rsidRDefault="00C549C6">
            <w:pPr>
              <w:rPr>
                <w:b/>
                <w:bCs/>
                <w:color w:val="000000"/>
                <w:sz w:val="22"/>
                <w:szCs w:val="22"/>
              </w:rPr>
            </w:pPr>
            <w:r>
              <w:rPr>
                <w:b/>
                <w:bCs/>
                <w:color w:val="000000"/>
                <w:sz w:val="22"/>
                <w:szCs w:val="22"/>
              </w:rPr>
              <w:t>Исходи учења (стечена знања, вјештине и компетенције):</w:t>
            </w: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549C6" w:rsidRDefault="00BB293A" w:rsidP="00791DD8">
            <w:pPr>
              <w:jc w:val="both"/>
              <w:rPr>
                <w:color w:val="000000"/>
                <w:sz w:val="22"/>
                <w:szCs w:val="22"/>
              </w:rPr>
            </w:pPr>
            <w:r w:rsidRPr="00BB293A">
              <w:rPr>
                <w:color w:val="000000"/>
                <w:sz w:val="22"/>
                <w:szCs w:val="22"/>
              </w:rPr>
              <w:t>Способност  управљања  пром</w:t>
            </w:r>
            <w:r w:rsidR="007F2069">
              <w:rPr>
                <w:color w:val="000000"/>
                <w:sz w:val="22"/>
                <w:szCs w:val="22"/>
                <w:lang w:val="en-US"/>
              </w:rPr>
              <w:t>j</w:t>
            </w:r>
            <w:r w:rsidRPr="00BB293A">
              <w:rPr>
                <w:color w:val="000000"/>
                <w:sz w:val="22"/>
                <w:szCs w:val="22"/>
              </w:rPr>
              <w:t>енама историјских објеката.</w:t>
            </w:r>
            <w:r>
              <w:rPr>
                <w:color w:val="000000"/>
                <w:sz w:val="22"/>
                <w:szCs w:val="22"/>
                <w:lang w:val="sr-Cyrl-CS"/>
              </w:rPr>
              <w:t xml:space="preserve"> </w:t>
            </w:r>
            <w:r w:rsidRPr="00BB293A">
              <w:rPr>
                <w:color w:val="000000"/>
                <w:sz w:val="22"/>
                <w:szCs w:val="22"/>
              </w:rPr>
              <w:t xml:space="preserve">Разумијевање </w:t>
            </w:r>
            <w:r w:rsidR="00791DD8">
              <w:rPr>
                <w:color w:val="000000"/>
                <w:sz w:val="22"/>
                <w:szCs w:val="22"/>
                <w:lang w:val="sr-Cyrl-RS"/>
              </w:rPr>
              <w:t xml:space="preserve">цијелог </w:t>
            </w:r>
            <w:r w:rsidRPr="00BB293A">
              <w:rPr>
                <w:color w:val="000000"/>
                <w:sz w:val="22"/>
                <w:szCs w:val="22"/>
              </w:rPr>
              <w:t>процеса пројеката конзервације, укључујући истраживања, успостављање стратегије очувања, формулисању извјештаја и имплементације пројеката.</w:t>
            </w:r>
            <w:r w:rsidR="00791DD8">
              <w:rPr>
                <w:color w:val="000000"/>
                <w:sz w:val="22"/>
                <w:szCs w:val="22"/>
                <w:lang w:val="sr-Cyrl-RS"/>
              </w:rPr>
              <w:t xml:space="preserve"> </w:t>
            </w:r>
            <w:r w:rsidRPr="00BB293A">
              <w:rPr>
                <w:color w:val="000000"/>
                <w:sz w:val="22"/>
                <w:szCs w:val="22"/>
              </w:rPr>
              <w:t>Свијест о утицају конзерваторских принципа о начину на који су културна добра очувана, реконструисана, или адаптирана.</w:t>
            </w:r>
            <w:r w:rsidR="00791DD8">
              <w:rPr>
                <w:color w:val="000000"/>
                <w:sz w:val="22"/>
                <w:szCs w:val="22"/>
                <w:lang w:val="sr-Cyrl-RS"/>
              </w:rPr>
              <w:t xml:space="preserve"> </w:t>
            </w:r>
            <w:r w:rsidRPr="00BB293A">
              <w:rPr>
                <w:color w:val="000000"/>
                <w:sz w:val="22"/>
                <w:szCs w:val="22"/>
              </w:rPr>
              <w:t>Интегрисани, широк поглед на урбане средине и разумијевање историјских објеката, као саставних дијелова урбаног окружења.</w:t>
            </w:r>
            <w:r w:rsidR="00791DD8">
              <w:rPr>
                <w:color w:val="000000"/>
                <w:sz w:val="22"/>
                <w:szCs w:val="22"/>
                <w:lang w:val="sr-Cyrl-RS"/>
              </w:rPr>
              <w:t xml:space="preserve"> </w:t>
            </w:r>
            <w:r w:rsidRPr="00BB293A">
              <w:rPr>
                <w:color w:val="000000"/>
                <w:sz w:val="22"/>
                <w:szCs w:val="22"/>
              </w:rPr>
              <w:t>Способност да се интегришу конзерваторск</w:t>
            </w:r>
            <w:r>
              <w:rPr>
                <w:color w:val="000000"/>
                <w:sz w:val="22"/>
                <w:szCs w:val="22"/>
                <w:lang w:val="sr-Cyrl-CS"/>
              </w:rPr>
              <w:t>и</w:t>
            </w:r>
            <w:r w:rsidRPr="00BB293A">
              <w:rPr>
                <w:color w:val="000000"/>
                <w:sz w:val="22"/>
                <w:szCs w:val="22"/>
              </w:rPr>
              <w:t xml:space="preserve">  ставов</w:t>
            </w:r>
            <w:r>
              <w:rPr>
                <w:color w:val="000000"/>
                <w:sz w:val="22"/>
                <w:szCs w:val="22"/>
                <w:lang w:val="sr-Cyrl-CS"/>
              </w:rPr>
              <w:t>и</w:t>
            </w:r>
            <w:r w:rsidRPr="00BB293A">
              <w:rPr>
                <w:color w:val="000000"/>
                <w:sz w:val="22"/>
                <w:szCs w:val="22"/>
              </w:rPr>
              <w:t xml:space="preserve"> са савременим економским и социјалним циљевима.</w:t>
            </w: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C549C6" w:rsidRDefault="00C549C6">
            <w:pPr>
              <w:rPr>
                <w:b/>
                <w:bCs/>
                <w:color w:val="000000"/>
                <w:sz w:val="22"/>
                <w:szCs w:val="22"/>
              </w:rPr>
            </w:pPr>
            <w:r>
              <w:rPr>
                <w:b/>
                <w:bCs/>
                <w:color w:val="000000"/>
                <w:sz w:val="22"/>
                <w:szCs w:val="22"/>
              </w:rPr>
              <w:t>Садржај предмета:</w:t>
            </w: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549C6" w:rsidRDefault="00BB293A" w:rsidP="00BB293A">
            <w:pPr>
              <w:jc w:val="both"/>
              <w:rPr>
                <w:color w:val="000000"/>
                <w:sz w:val="22"/>
                <w:szCs w:val="22"/>
              </w:rPr>
            </w:pPr>
            <w:r w:rsidRPr="00BB293A">
              <w:rPr>
                <w:color w:val="000000"/>
                <w:sz w:val="22"/>
                <w:szCs w:val="22"/>
              </w:rPr>
              <w:t>Овај модул истражује различите методе промоције културних добара. Пројекат заштите који ће бити под надзором на недељном нивоу нуди могућност да осмисле интервенцију на историјској цјелини. Пројекат се неће фокусирати на једној историјској згради, него ће ће понудити прилику да се истражи улога конзервације у ширем градском окружењу. Паралелно са овим пројектом, кроз серију предавања ће се презентовати и истражити различите фазе у изради конзерваторских пројеката, методе истраживања, процјене, обнове, конструктивне санације, адаптације, проширење и праћење историјских грађевина и околних градских простора. Посебан акценат ће бити стављен на питања везана за очување и управљање историјским градовима</w:t>
            </w:r>
            <w:r>
              <w:rPr>
                <w:color w:val="000000"/>
                <w:sz w:val="22"/>
                <w:szCs w:val="22"/>
                <w:lang w:val="sr-Cyrl-CS"/>
              </w:rPr>
              <w:t xml:space="preserve">. </w:t>
            </w: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C549C6" w:rsidRDefault="00C549C6">
            <w:pPr>
              <w:rPr>
                <w:b/>
                <w:bCs/>
                <w:color w:val="000000"/>
                <w:sz w:val="22"/>
                <w:szCs w:val="22"/>
              </w:rPr>
            </w:pPr>
            <w:r>
              <w:rPr>
                <w:b/>
                <w:bCs/>
                <w:color w:val="000000"/>
                <w:sz w:val="22"/>
                <w:szCs w:val="22"/>
              </w:rPr>
              <w:t>Метод наставе и савладавања градива:</w:t>
            </w: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C549C6" w:rsidRDefault="00C549C6">
            <w:pPr>
              <w:rPr>
                <w:color w:val="000000"/>
                <w:sz w:val="22"/>
                <w:szCs w:val="22"/>
              </w:rPr>
            </w:pPr>
            <w:r>
              <w:rPr>
                <w:color w:val="000000"/>
                <w:sz w:val="22"/>
                <w:szCs w:val="22"/>
              </w:rPr>
              <w:t>Предавања, вјежбе, консултације</w:t>
            </w: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C549C6" w:rsidRDefault="00C549C6">
            <w:pPr>
              <w:rPr>
                <w:b/>
                <w:bCs/>
                <w:color w:val="000000"/>
                <w:sz w:val="22"/>
                <w:szCs w:val="22"/>
              </w:rPr>
            </w:pPr>
            <w:r>
              <w:rPr>
                <w:b/>
                <w:bCs/>
                <w:color w:val="000000"/>
                <w:sz w:val="22"/>
                <w:szCs w:val="22"/>
              </w:rPr>
              <w:t>Литература:</w:t>
            </w: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BB293A" w:rsidRPr="00F16312" w:rsidRDefault="00BB293A" w:rsidP="00BB293A">
            <w:pPr>
              <w:rPr>
                <w:color w:val="000000"/>
                <w:sz w:val="20"/>
                <w:szCs w:val="22"/>
                <w:lang w:val="sr-Cyrl-CS" w:eastAsia="en-CA"/>
              </w:rPr>
            </w:pPr>
            <w:r w:rsidRPr="00F16312">
              <w:rPr>
                <w:color w:val="000000"/>
                <w:sz w:val="20"/>
                <w:szCs w:val="22"/>
                <w:lang w:val="sr-Cyrl-CS" w:eastAsia="en-CA"/>
              </w:rPr>
              <w:t>Cantacuzi</w:t>
            </w:r>
            <w:r>
              <w:rPr>
                <w:color w:val="000000"/>
                <w:sz w:val="20"/>
                <w:szCs w:val="22"/>
                <w:lang w:val="sr-Cyrl-CS" w:eastAsia="en-CA"/>
              </w:rPr>
              <w:t>no, S.</w:t>
            </w:r>
            <w:r w:rsidRPr="00F16312">
              <w:rPr>
                <w:color w:val="000000"/>
                <w:sz w:val="20"/>
                <w:szCs w:val="22"/>
                <w:lang w:val="sr-Cyrl-CS" w:eastAsia="en-CA"/>
              </w:rPr>
              <w:t xml:space="preserve"> </w:t>
            </w:r>
            <w:r w:rsidRPr="00813E3A">
              <w:rPr>
                <w:i/>
                <w:color w:val="000000"/>
                <w:sz w:val="20"/>
                <w:szCs w:val="22"/>
                <w:lang w:val="sr-Cyrl-CS" w:eastAsia="en-CA"/>
              </w:rPr>
              <w:t>New Uses for Old Buildings</w:t>
            </w:r>
            <w:r w:rsidRPr="00F16312">
              <w:rPr>
                <w:color w:val="000000"/>
                <w:sz w:val="20"/>
                <w:szCs w:val="22"/>
                <w:lang w:val="sr-Cyrl-CS" w:eastAsia="en-CA"/>
              </w:rPr>
              <w:t>, London, 1975</w:t>
            </w:r>
          </w:p>
          <w:p w:rsidR="00BB293A" w:rsidRPr="00F16312" w:rsidRDefault="00BB293A" w:rsidP="00BB293A">
            <w:pPr>
              <w:rPr>
                <w:color w:val="000000"/>
                <w:sz w:val="20"/>
                <w:szCs w:val="22"/>
                <w:lang w:val="sr-Cyrl-CS" w:eastAsia="en-CA"/>
              </w:rPr>
            </w:pPr>
            <w:r w:rsidRPr="00F16312">
              <w:rPr>
                <w:color w:val="000000"/>
                <w:sz w:val="20"/>
                <w:szCs w:val="22"/>
                <w:lang w:val="sr-Cyrl-CS" w:eastAsia="en-CA"/>
              </w:rPr>
              <w:t>Charles, F.W.B</w:t>
            </w:r>
            <w:r w:rsidRPr="00813E3A">
              <w:rPr>
                <w:i/>
                <w:color w:val="000000"/>
                <w:sz w:val="20"/>
                <w:szCs w:val="22"/>
                <w:lang w:val="sr-Cyrl-CS" w:eastAsia="en-CA"/>
              </w:rPr>
              <w:t>., Conservation of Timber Buildings</w:t>
            </w:r>
            <w:r w:rsidRPr="00F16312">
              <w:rPr>
                <w:color w:val="000000"/>
                <w:sz w:val="20"/>
                <w:szCs w:val="22"/>
                <w:lang w:val="sr-Cyrl-CS" w:eastAsia="en-CA"/>
              </w:rPr>
              <w:t>, Shaftesbury: Donhead, 1995</w:t>
            </w:r>
          </w:p>
          <w:p w:rsidR="00BB293A" w:rsidRPr="00F16312" w:rsidRDefault="00BB293A" w:rsidP="00BB293A">
            <w:pPr>
              <w:rPr>
                <w:color w:val="000000"/>
                <w:sz w:val="20"/>
                <w:szCs w:val="22"/>
                <w:lang w:val="sr-Cyrl-CS" w:eastAsia="en-CA"/>
              </w:rPr>
            </w:pPr>
            <w:r w:rsidRPr="00F16312">
              <w:rPr>
                <w:color w:val="000000"/>
                <w:sz w:val="20"/>
                <w:szCs w:val="22"/>
                <w:lang w:val="sr-Cyrl-CS" w:eastAsia="en-CA"/>
              </w:rPr>
              <w:t xml:space="preserve">Croci, G., </w:t>
            </w:r>
            <w:r w:rsidRPr="00813E3A">
              <w:rPr>
                <w:i/>
                <w:color w:val="000000"/>
                <w:sz w:val="20"/>
                <w:szCs w:val="22"/>
                <w:lang w:val="sr-Cyrl-CS" w:eastAsia="en-CA"/>
              </w:rPr>
              <w:t>The Conservation and Structural Restoration of Architectural Heritage</w:t>
            </w:r>
            <w:r w:rsidRPr="00F16312">
              <w:rPr>
                <w:color w:val="000000"/>
                <w:sz w:val="20"/>
                <w:szCs w:val="22"/>
                <w:lang w:val="sr-Cyrl-CS" w:eastAsia="en-CA"/>
              </w:rPr>
              <w:t>, Southampton: Computational Mechanics Publications, 1998</w:t>
            </w:r>
          </w:p>
          <w:p w:rsidR="00BB293A" w:rsidRPr="00F16312" w:rsidRDefault="00BB293A" w:rsidP="00BB293A">
            <w:pPr>
              <w:rPr>
                <w:color w:val="000000"/>
                <w:sz w:val="20"/>
                <w:szCs w:val="22"/>
                <w:lang w:val="sr-Cyrl-CS" w:eastAsia="en-CA"/>
              </w:rPr>
            </w:pPr>
            <w:r w:rsidRPr="00F16312">
              <w:rPr>
                <w:color w:val="000000"/>
                <w:sz w:val="20"/>
                <w:szCs w:val="22"/>
                <w:lang w:val="sr-Cyrl-CS" w:eastAsia="en-CA"/>
              </w:rPr>
              <w:t>Feilden, B.M</w:t>
            </w:r>
            <w:r w:rsidRPr="00813E3A">
              <w:rPr>
                <w:i/>
                <w:color w:val="000000"/>
                <w:sz w:val="20"/>
                <w:szCs w:val="22"/>
                <w:lang w:val="sr-Cyrl-CS" w:eastAsia="en-CA"/>
              </w:rPr>
              <w:t>., Conservation of Historic Buildings</w:t>
            </w:r>
            <w:r w:rsidRPr="00F16312">
              <w:rPr>
                <w:color w:val="000000"/>
                <w:sz w:val="20"/>
                <w:szCs w:val="22"/>
                <w:lang w:val="sr-Cyrl-CS" w:eastAsia="en-CA"/>
              </w:rPr>
              <w:t>, Butterworth, 2003</w:t>
            </w:r>
          </w:p>
          <w:p w:rsidR="00BB293A" w:rsidRPr="00F16312" w:rsidRDefault="00BB293A" w:rsidP="00BB293A">
            <w:pPr>
              <w:rPr>
                <w:color w:val="000000"/>
                <w:sz w:val="20"/>
                <w:szCs w:val="22"/>
                <w:lang w:val="sr-Cyrl-CS" w:eastAsia="en-CA"/>
              </w:rPr>
            </w:pPr>
            <w:r w:rsidRPr="00F16312">
              <w:rPr>
                <w:color w:val="000000"/>
                <w:sz w:val="20"/>
                <w:szCs w:val="22"/>
                <w:lang w:val="sr-Cyrl-CS" w:eastAsia="en-CA"/>
              </w:rPr>
              <w:t xml:space="preserve">ICOMOS, </w:t>
            </w:r>
            <w:r w:rsidRPr="00813E3A">
              <w:rPr>
                <w:i/>
                <w:color w:val="000000"/>
                <w:sz w:val="20"/>
                <w:szCs w:val="22"/>
                <w:lang w:val="sr-Cyrl-CS" w:eastAsia="en-CA"/>
              </w:rPr>
              <w:t>Guide to Recording Historic Buildings</w:t>
            </w:r>
            <w:r w:rsidRPr="00F16312">
              <w:rPr>
                <w:color w:val="000000"/>
                <w:sz w:val="20"/>
                <w:szCs w:val="22"/>
                <w:lang w:val="sr-Cyrl-CS" w:eastAsia="en-CA"/>
              </w:rPr>
              <w:t>, Butterworth, 1990</w:t>
            </w:r>
          </w:p>
          <w:p w:rsidR="00BB293A" w:rsidRPr="00F16312" w:rsidRDefault="00BB293A" w:rsidP="00BB293A">
            <w:pPr>
              <w:rPr>
                <w:color w:val="000000"/>
                <w:sz w:val="20"/>
                <w:szCs w:val="22"/>
                <w:lang w:val="sr-Cyrl-CS" w:eastAsia="en-CA"/>
              </w:rPr>
            </w:pPr>
            <w:r w:rsidRPr="00F16312">
              <w:rPr>
                <w:color w:val="000000"/>
                <w:sz w:val="20"/>
                <w:szCs w:val="22"/>
                <w:lang w:val="sr-Cyrl-CS" w:eastAsia="en-CA"/>
              </w:rPr>
              <w:t xml:space="preserve">Krier, L., </w:t>
            </w:r>
            <w:r w:rsidRPr="00813E3A">
              <w:rPr>
                <w:i/>
                <w:color w:val="000000"/>
                <w:sz w:val="20"/>
                <w:szCs w:val="22"/>
                <w:lang w:val="sr-Cyrl-CS" w:eastAsia="en-CA"/>
              </w:rPr>
              <w:t>Architecture, Choice or Fate</w:t>
            </w:r>
            <w:r w:rsidRPr="00F16312">
              <w:rPr>
                <w:color w:val="000000"/>
                <w:sz w:val="20"/>
                <w:szCs w:val="22"/>
                <w:lang w:val="sr-Cyrl-CS" w:eastAsia="en-CA"/>
              </w:rPr>
              <w:t>, London: Papadakis Publisher, 1998</w:t>
            </w:r>
          </w:p>
          <w:p w:rsidR="00BB293A" w:rsidRPr="00F16312" w:rsidRDefault="00BB293A" w:rsidP="00BB293A">
            <w:pPr>
              <w:rPr>
                <w:color w:val="000000"/>
                <w:sz w:val="20"/>
                <w:szCs w:val="22"/>
                <w:lang w:val="sr-Cyrl-CS" w:eastAsia="en-CA"/>
              </w:rPr>
            </w:pPr>
            <w:r w:rsidRPr="00F16312">
              <w:rPr>
                <w:color w:val="000000"/>
                <w:sz w:val="20"/>
                <w:szCs w:val="22"/>
                <w:lang w:val="sr-Cyrl-CS" w:eastAsia="en-CA"/>
              </w:rPr>
              <w:t xml:space="preserve">Larkham, P.J., </w:t>
            </w:r>
            <w:r w:rsidRPr="00813E3A">
              <w:rPr>
                <w:i/>
                <w:color w:val="000000"/>
                <w:sz w:val="20"/>
                <w:szCs w:val="22"/>
                <w:lang w:val="sr-Cyrl-CS" w:eastAsia="en-CA"/>
              </w:rPr>
              <w:t>Conservation and the City</w:t>
            </w:r>
            <w:r w:rsidRPr="00F16312">
              <w:rPr>
                <w:color w:val="000000"/>
                <w:sz w:val="20"/>
                <w:szCs w:val="22"/>
                <w:lang w:val="sr-Cyrl-CS" w:eastAsia="en-CA"/>
              </w:rPr>
              <w:t>, London: Routledge, 1996</w:t>
            </w:r>
          </w:p>
          <w:p w:rsidR="00BB293A" w:rsidRPr="00F16312" w:rsidRDefault="00BB293A" w:rsidP="00BB293A">
            <w:pPr>
              <w:rPr>
                <w:color w:val="000000"/>
                <w:sz w:val="20"/>
                <w:szCs w:val="22"/>
                <w:lang w:val="sr-Cyrl-CS" w:eastAsia="en-CA"/>
              </w:rPr>
            </w:pPr>
            <w:r w:rsidRPr="00F16312">
              <w:rPr>
                <w:color w:val="000000"/>
                <w:sz w:val="20"/>
                <w:szCs w:val="22"/>
                <w:lang w:val="sr-Cyrl-CS" w:eastAsia="en-CA"/>
              </w:rPr>
              <w:t xml:space="preserve">Roberts, P. &amp; Sykes, H., </w:t>
            </w:r>
            <w:r w:rsidRPr="00813E3A">
              <w:rPr>
                <w:i/>
                <w:color w:val="000000"/>
                <w:sz w:val="20"/>
                <w:szCs w:val="22"/>
                <w:lang w:val="sr-Cyrl-CS" w:eastAsia="en-CA"/>
              </w:rPr>
              <w:t>Urban Regeneration</w:t>
            </w:r>
            <w:r w:rsidRPr="00F16312">
              <w:rPr>
                <w:color w:val="000000"/>
                <w:sz w:val="20"/>
                <w:szCs w:val="22"/>
                <w:lang w:val="sr-Cyrl-CS" w:eastAsia="en-CA"/>
              </w:rPr>
              <w:t>, Sage Publications, 1999</w:t>
            </w:r>
          </w:p>
          <w:p w:rsidR="00C549C6" w:rsidRDefault="00BB293A" w:rsidP="00BB293A">
            <w:pPr>
              <w:rPr>
                <w:color w:val="000000"/>
                <w:sz w:val="22"/>
                <w:szCs w:val="22"/>
              </w:rPr>
            </w:pPr>
            <w:r w:rsidRPr="00F16312">
              <w:rPr>
                <w:color w:val="000000"/>
                <w:sz w:val="20"/>
                <w:szCs w:val="22"/>
                <w:lang w:val="sr-Cyrl-CS" w:eastAsia="en-CA"/>
              </w:rPr>
              <w:t xml:space="preserve">Watt, D. &amp; Swallow, P., </w:t>
            </w:r>
            <w:r w:rsidRPr="00813E3A">
              <w:rPr>
                <w:i/>
                <w:color w:val="000000"/>
                <w:sz w:val="20"/>
                <w:szCs w:val="22"/>
                <w:lang w:val="sr-Cyrl-CS" w:eastAsia="en-CA"/>
              </w:rPr>
              <w:t>Surveying Historic Buildings</w:t>
            </w:r>
            <w:r w:rsidRPr="00F16312">
              <w:rPr>
                <w:color w:val="000000"/>
                <w:sz w:val="20"/>
                <w:szCs w:val="22"/>
                <w:lang w:val="sr-Cyrl-CS" w:eastAsia="en-CA"/>
              </w:rPr>
              <w:t>, Shaftesbury: Donhead, 1996</w:t>
            </w: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C549C6" w:rsidRDefault="00C549C6">
            <w:pPr>
              <w:rPr>
                <w:b/>
                <w:bCs/>
                <w:color w:val="000000"/>
                <w:sz w:val="22"/>
                <w:szCs w:val="22"/>
              </w:rPr>
            </w:pPr>
            <w:r>
              <w:rPr>
                <w:b/>
                <w:bCs/>
                <w:color w:val="000000"/>
                <w:sz w:val="22"/>
                <w:szCs w:val="22"/>
              </w:rPr>
              <w:t>Облици провјере знања:</w:t>
            </w:r>
          </w:p>
        </w:tc>
      </w:tr>
      <w:tr w:rsidR="00C549C6" w:rsidTr="00C549C6">
        <w:trPr>
          <w:trHeight w:val="330"/>
        </w:trPr>
        <w:tc>
          <w:tcPr>
            <w:tcW w:w="0" w:type="auto"/>
            <w:gridSpan w:val="3"/>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C549C6" w:rsidRDefault="00C549C6" w:rsidP="00BB293A">
            <w:pPr>
              <w:rPr>
                <w:color w:val="000000"/>
                <w:sz w:val="22"/>
                <w:szCs w:val="22"/>
              </w:rPr>
            </w:pPr>
            <w:r>
              <w:rPr>
                <w:color w:val="000000"/>
                <w:sz w:val="22"/>
                <w:szCs w:val="22"/>
              </w:rPr>
              <w:lastRenderedPageBreak/>
              <w:t>Похађање наставе</w:t>
            </w:r>
            <w:r>
              <w:rPr>
                <w:color w:val="000000"/>
                <w:sz w:val="22"/>
                <w:szCs w:val="22"/>
              </w:rPr>
              <w:br/>
              <w:t>Активност на настави</w:t>
            </w:r>
            <w:r>
              <w:rPr>
                <w:color w:val="000000"/>
                <w:sz w:val="22"/>
                <w:szCs w:val="22"/>
              </w:rPr>
              <w:br/>
              <w:t>Колоквиј/испит</w:t>
            </w:r>
            <w:r>
              <w:rPr>
                <w:color w:val="000000"/>
                <w:sz w:val="22"/>
                <w:szCs w:val="22"/>
              </w:rPr>
              <w:br/>
            </w:r>
            <w:r w:rsidR="00BB293A">
              <w:rPr>
                <w:color w:val="000000"/>
                <w:sz w:val="22"/>
                <w:szCs w:val="22"/>
                <w:lang w:val="sr-Cyrl-CS"/>
              </w:rPr>
              <w:t>Графички рад</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C549C6" w:rsidRDefault="00C549C6" w:rsidP="00BB293A">
            <w:pPr>
              <w:rPr>
                <w:color w:val="000000"/>
                <w:sz w:val="22"/>
                <w:szCs w:val="22"/>
              </w:rPr>
            </w:pPr>
            <w:r>
              <w:rPr>
                <w:color w:val="000000"/>
                <w:sz w:val="22"/>
                <w:szCs w:val="22"/>
              </w:rPr>
              <w:t>4 бода</w:t>
            </w:r>
            <w:r>
              <w:rPr>
                <w:color w:val="000000"/>
                <w:sz w:val="22"/>
                <w:szCs w:val="22"/>
              </w:rPr>
              <w:br/>
              <w:t>10 бодова</w:t>
            </w:r>
            <w:r>
              <w:rPr>
                <w:color w:val="000000"/>
                <w:sz w:val="22"/>
                <w:szCs w:val="22"/>
              </w:rPr>
              <w:br/>
            </w:r>
            <w:r w:rsidR="00BB293A">
              <w:rPr>
                <w:color w:val="000000"/>
                <w:sz w:val="22"/>
                <w:szCs w:val="22"/>
                <w:lang w:val="sr-Cyrl-CS"/>
              </w:rPr>
              <w:t>28/28</w:t>
            </w:r>
            <w:r>
              <w:rPr>
                <w:color w:val="000000"/>
                <w:sz w:val="22"/>
                <w:szCs w:val="22"/>
              </w:rPr>
              <w:t xml:space="preserve"> бодова</w:t>
            </w:r>
            <w:r>
              <w:rPr>
                <w:color w:val="000000"/>
                <w:sz w:val="22"/>
                <w:szCs w:val="22"/>
              </w:rPr>
              <w:br/>
            </w:r>
            <w:r w:rsidR="00BB293A">
              <w:rPr>
                <w:color w:val="000000"/>
                <w:sz w:val="22"/>
                <w:szCs w:val="22"/>
                <w:lang w:val="sr-Cyrl-CS"/>
              </w:rPr>
              <w:t xml:space="preserve">30 </w:t>
            </w:r>
            <w:r>
              <w:rPr>
                <w:color w:val="000000"/>
                <w:sz w:val="22"/>
                <w:szCs w:val="22"/>
              </w:rPr>
              <w:t>бодова</w:t>
            </w: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549C6" w:rsidRDefault="00C549C6">
            <w:pPr>
              <w:rPr>
                <w:rFonts w:ascii="Arial" w:hAnsi="Arial" w:cs="Arial"/>
                <w:sz w:val="20"/>
                <w:szCs w:val="20"/>
              </w:rPr>
            </w:pP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rsidR="00C549C6" w:rsidRDefault="00C549C6">
            <w:pPr>
              <w:rPr>
                <w:b/>
                <w:bCs/>
                <w:color w:val="000000"/>
                <w:sz w:val="22"/>
                <w:szCs w:val="22"/>
              </w:rPr>
            </w:pPr>
            <w:r>
              <w:rPr>
                <w:b/>
                <w:bCs/>
                <w:color w:val="000000"/>
                <w:sz w:val="22"/>
                <w:szCs w:val="22"/>
              </w:rPr>
              <w:t>Посебна назнака за предмет:</w:t>
            </w:r>
          </w:p>
        </w:tc>
      </w:tr>
      <w:tr w:rsidR="00C549C6" w:rsidTr="00C549C6">
        <w:trPr>
          <w:trHeight w:val="33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C549C6" w:rsidRDefault="00C549C6">
            <w:pPr>
              <w:rPr>
                <w:rFonts w:ascii="Arial" w:hAnsi="Arial" w:cs="Arial"/>
                <w:sz w:val="20"/>
                <w:szCs w:val="20"/>
              </w:rPr>
            </w:pPr>
          </w:p>
        </w:tc>
      </w:tr>
      <w:tr w:rsidR="00C549C6" w:rsidTr="00791DD8">
        <w:trPr>
          <w:trHeight w:val="330"/>
        </w:trPr>
        <w:tc>
          <w:tcPr>
            <w:tcW w:w="0" w:type="auto"/>
            <w:gridSpan w:val="5"/>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C549C6" w:rsidRDefault="00C549C6">
            <w:pPr>
              <w:rPr>
                <w:b/>
                <w:bCs/>
                <w:color w:val="000000"/>
                <w:sz w:val="22"/>
                <w:szCs w:val="22"/>
              </w:rPr>
            </w:pPr>
          </w:p>
        </w:tc>
      </w:tr>
      <w:tr w:rsidR="00C549C6" w:rsidTr="00791DD8">
        <w:trPr>
          <w:trHeight w:val="330"/>
        </w:trPr>
        <w:tc>
          <w:tcPr>
            <w:tcW w:w="0" w:type="auto"/>
            <w:gridSpan w:val="5"/>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C549C6" w:rsidRDefault="00C549C6">
            <w:pPr>
              <w:rPr>
                <w:color w:val="000000"/>
                <w:sz w:val="22"/>
                <w:szCs w:val="22"/>
              </w:rPr>
            </w:pPr>
          </w:p>
        </w:tc>
      </w:tr>
    </w:tbl>
    <w:p w:rsidR="00657F47" w:rsidRDefault="00657F47">
      <w:bookmarkStart w:id="0" w:name="_GoBack"/>
      <w:bookmarkEnd w:id="0"/>
    </w:p>
    <w:sectPr w:rsidR="00657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C6"/>
    <w:rsid w:val="001B0908"/>
    <w:rsid w:val="005526E0"/>
    <w:rsid w:val="00657F47"/>
    <w:rsid w:val="00791DD8"/>
    <w:rsid w:val="007F2069"/>
    <w:rsid w:val="00B91D66"/>
    <w:rsid w:val="00BB293A"/>
    <w:rsid w:val="00C549C6"/>
    <w:rsid w:val="00CD69A3"/>
    <w:rsid w:val="00EF1B09"/>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8D096"/>
  <w15:docId w15:val="{EE9546AA-EFFC-4645-A207-4A60E51E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49C6"/>
    <w:rPr>
      <w:rFonts w:ascii="Tahoma" w:hAnsi="Tahoma" w:cs="Tahoma"/>
      <w:sz w:val="16"/>
      <w:szCs w:val="16"/>
    </w:rPr>
  </w:style>
  <w:style w:type="character" w:customStyle="1" w:styleId="BalloonTextChar">
    <w:name w:val="Balloon Text Char"/>
    <w:basedOn w:val="DefaultParagraphFont"/>
    <w:link w:val="BalloonText"/>
    <w:rsid w:val="00C549C6"/>
    <w:rPr>
      <w:rFonts w:ascii="Tahoma" w:hAnsi="Tahoma" w:cs="Tahoma"/>
      <w:sz w:val="16"/>
      <w:szCs w:val="16"/>
    </w:rPr>
  </w:style>
  <w:style w:type="character" w:styleId="Emphasis">
    <w:name w:val="Emphasis"/>
    <w:basedOn w:val="DefaultParagraphFont"/>
    <w:qFormat/>
    <w:rsid w:val="001B0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28024">
      <w:bodyDiv w:val="1"/>
      <w:marLeft w:val="0"/>
      <w:marRight w:val="0"/>
      <w:marTop w:val="0"/>
      <w:marBottom w:val="0"/>
      <w:divBdr>
        <w:top w:val="none" w:sz="0" w:space="0" w:color="auto"/>
        <w:left w:val="none" w:sz="0" w:space="0" w:color="auto"/>
        <w:bottom w:val="none" w:sz="0" w:space="0" w:color="auto"/>
        <w:right w:val="none" w:sz="0" w:space="0" w:color="auto"/>
      </w:divBdr>
      <w:divsChild>
        <w:div w:id="329331436">
          <w:marLeft w:val="0"/>
          <w:marRight w:val="0"/>
          <w:marTop w:val="0"/>
          <w:marBottom w:val="0"/>
          <w:divBdr>
            <w:top w:val="none" w:sz="0" w:space="0" w:color="auto"/>
            <w:left w:val="none" w:sz="0" w:space="0" w:color="auto"/>
            <w:bottom w:val="none" w:sz="0" w:space="0" w:color="auto"/>
            <w:right w:val="none" w:sz="0" w:space="0" w:color="auto"/>
          </w:divBdr>
          <w:divsChild>
            <w:div w:id="317461736">
              <w:marLeft w:val="0"/>
              <w:marRight w:val="0"/>
              <w:marTop w:val="0"/>
              <w:marBottom w:val="0"/>
              <w:divBdr>
                <w:top w:val="none" w:sz="0" w:space="0" w:color="auto"/>
                <w:left w:val="none" w:sz="0" w:space="0" w:color="auto"/>
                <w:bottom w:val="none" w:sz="0" w:space="0" w:color="auto"/>
                <w:right w:val="none" w:sz="0" w:space="0" w:color="auto"/>
              </w:divBdr>
            </w:div>
          </w:divsChild>
        </w:div>
        <w:div w:id="820805000">
          <w:marLeft w:val="0"/>
          <w:marRight w:val="0"/>
          <w:marTop w:val="0"/>
          <w:marBottom w:val="0"/>
          <w:divBdr>
            <w:top w:val="none" w:sz="0" w:space="0" w:color="auto"/>
            <w:left w:val="none" w:sz="0" w:space="0" w:color="auto"/>
            <w:bottom w:val="none" w:sz="0" w:space="0" w:color="auto"/>
            <w:right w:val="none" w:sz="0" w:space="0" w:color="auto"/>
          </w:divBdr>
          <w:divsChild>
            <w:div w:id="5848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Milijana Okilj</cp:lastModifiedBy>
  <cp:revision>3</cp:revision>
  <dcterms:created xsi:type="dcterms:W3CDTF">2017-02-18T18:52:00Z</dcterms:created>
  <dcterms:modified xsi:type="dcterms:W3CDTF">2020-01-23T13:35:00Z</dcterms:modified>
</cp:coreProperties>
</file>